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Testy i</w:t>
      </w:r>
      <w:r>
        <w:rPr>
          <w:rFonts w:cs="Times New Roman" w:ascii="Times New Roman" w:hAnsi="Times New Roman"/>
          <w:sz w:val="24"/>
        </w:rPr>
        <w:t xml:space="preserve"> Pakiet 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OPIS PRZEDMIOTU ZAMÓWIENIA (OPZ) – FORMULARZ CENOWY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kern w:val="2"/>
          <w:sz w:val="28"/>
          <w:szCs w:val="24"/>
          <w:lang w:bidi="hi-IN"/>
        </w:rPr>
      </w:pPr>
      <w:r>
        <w:rPr>
          <w:rFonts w:cs="Times New Roman" w:ascii="Times New Roman" w:hAnsi="Times New Roman"/>
          <w:kern w:val="2"/>
          <w:sz w:val="28"/>
          <w:szCs w:val="24"/>
          <w:lang w:bidi="hi-I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cs="Times New Roman"/>
          <w:b/>
          <w:kern w:val="2"/>
          <w:sz w:val="24"/>
          <w:szCs w:val="24"/>
          <w:lang w:bidi="hi-IN"/>
        </w:rPr>
      </w:pPr>
      <w:r>
        <w:rPr>
          <w:rFonts w:cs="Times New Roman" w:ascii="Times New Roman" w:hAnsi="Times New Roman"/>
          <w:b/>
          <w:kern w:val="2"/>
          <w:sz w:val="32"/>
          <w:szCs w:val="24"/>
          <w:lang w:bidi="hi-IN"/>
        </w:rPr>
        <w:t>Zapotrzebowanie okres 3 lat.</w:t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6"/>
          <w:szCs w:val="26"/>
        </w:rPr>
        <w:t>Testy immunologiczne (latexowe lub immunochromatograficzne)</w:t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</w:rPr>
        <w:t>(</w:t>
      </w:r>
      <w:r>
        <w:rPr>
          <w:rFonts w:eastAsia="Times New Roman" w:cs="Times New Roman" w:ascii="Times New Roman" w:hAnsi="Times New Roman"/>
          <w:color w:val="000000"/>
          <w:sz w:val="20"/>
          <w:szCs w:val="20"/>
        </w:rPr>
        <w:t xml:space="preserve"> 3 lata)</w:t>
      </w:r>
    </w:p>
    <w:tbl>
      <w:tblPr>
        <w:tblW w:w="14539" w:type="dxa"/>
        <w:jc w:val="left"/>
        <w:tblInd w:w="1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75"/>
        <w:gridCol w:w="4485"/>
        <w:gridCol w:w="930"/>
        <w:gridCol w:w="1065"/>
        <w:gridCol w:w="810"/>
        <w:gridCol w:w="630"/>
        <w:gridCol w:w="1785"/>
        <w:gridCol w:w="1245"/>
        <w:gridCol w:w="615"/>
        <w:gridCol w:w="1140"/>
        <w:gridCol w:w="1380"/>
        <w:gridCol w:w="30"/>
        <w:gridCol w:w="49"/>
      </w:tblGrid>
      <w:tr>
        <w:trPr>
          <w:trHeight w:val="1252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 w:val="false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 w:val="false"/>
                <w:sz w:val="19"/>
                <w:szCs w:val="19"/>
              </w:rPr>
              <w:t>lp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>nazwa testu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>Ilość ozn na</w:t>
            </w:r>
          </w:p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 xml:space="preserve">3 </w:t>
            </w:r>
            <w:r>
              <w:rPr>
                <w:b w:val="false"/>
                <w:sz w:val="17"/>
                <w:szCs w:val="17"/>
              </w:rPr>
              <w:t>lata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>Nazwa handlowa producenta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>Oferowana wielkość opakowania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>Numer katalog.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 xml:space="preserve">Potrzebna ilość pełnych op./szt. do podanej liczby oznaczeń </w:t>
            </w:r>
            <w:r>
              <w:rPr>
                <w:rFonts w:eastAsia="Times New Roman" w:cs="Times New Roman" w:ascii="Times New Roman" w:hAnsi="Times New Roman"/>
                <w:b w:val="false"/>
                <w:sz w:val="16"/>
                <w:szCs w:val="16"/>
              </w:rPr>
              <w:t>(zaokrąglić w górę)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>Cena jedn. netto za op./szt./                w PLN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>VAT %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>Cena jedn. brutto za op./szt./                w PLN</w:t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center"/>
              <w:rPr>
                <w:b w:val="false"/>
                <w:sz w:val="17"/>
                <w:szCs w:val="17"/>
              </w:rPr>
            </w:pPr>
            <w:r>
              <w:rPr>
                <w:b w:val="false"/>
                <w:sz w:val="17"/>
                <w:szCs w:val="17"/>
              </w:rPr>
              <w:t xml:space="preserve">Wartość brutto </w:t>
            </w:r>
            <w:r>
              <w:rPr>
                <w:rFonts w:eastAsia="Times New Roman" w:cs="Times New Roman" w:ascii="Times New Roman" w:hAnsi="Times New Roman"/>
                <w:b w:val="false"/>
                <w:sz w:val="16"/>
                <w:szCs w:val="16"/>
              </w:rPr>
              <w:t>w PLN</w:t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1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FOB</w:t>
            </w:r>
          </w:p>
          <w:p>
            <w:pPr>
              <w:pStyle w:val="Normal"/>
              <w:spacing w:before="0" w:after="200"/>
              <w:rPr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Test wykrywający krew utajoną w próbkach kału, bez konieczności zachowania diety. Metoda immunochromatograficzna.  Czułość diagnostyczna min. 10 ng hHB/ml Czułość: 99,9%, Swoistość: 97% Braku efektu prozonowego do min. 100 000 ng/ml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2</w:t>
            </w:r>
            <w:r>
              <w:rPr>
                <w:b w:val="false"/>
                <w:sz w:val="19"/>
                <w:szCs w:val="19"/>
              </w:rPr>
              <w:t>5</w:t>
            </w:r>
            <w:r>
              <w:rPr>
                <w:b w:val="false"/>
                <w:sz w:val="19"/>
                <w:szCs w:val="19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2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bCs/>
                <w:sz w:val="19"/>
                <w:szCs w:val="19"/>
              </w:rPr>
              <w:t>Syphilis</w:t>
            </w:r>
            <w:r>
              <w:rPr>
                <w:b w:val="false"/>
                <w:bCs/>
                <w:sz w:val="19"/>
                <w:szCs w:val="19"/>
              </w:rPr>
              <w:br/>
            </w:r>
            <w:r>
              <w:rPr>
                <w:b w:val="false"/>
                <w:sz w:val="19"/>
                <w:szCs w:val="19"/>
              </w:rPr>
              <w:t>Test jednostopniowy wykrywający przeciwciała Treponema pallidum (IgM, IgG) w próbkach osocza, surowicy lub krwi pełnej.</w:t>
              <w:br/>
              <w:t xml:space="preserve">Metoda immunochromatograficzna. </w:t>
              <w:br/>
              <w:t>Czułość i swoistosć min. 99,7%.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10</w:t>
            </w:r>
            <w:r>
              <w:rPr>
                <w:b w:val="false"/>
                <w:sz w:val="19"/>
                <w:szCs w:val="19"/>
              </w:rPr>
              <w:t>0</w:t>
            </w:r>
            <w:r>
              <w:rPr>
                <w:b w:val="false"/>
                <w:sz w:val="19"/>
                <w:szCs w:val="19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3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Odczyn Waaler Rose </w:t>
            </w:r>
          </w:p>
          <w:p>
            <w:pPr>
              <w:pStyle w:val="Normal"/>
              <w:spacing w:before="0" w:after="200"/>
              <w:rPr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Test jakościowy/półilościowy - aglutynacyjny</w:t>
              <w:br/>
              <w:t>Kontrola dodatnia i ujemna, płytki i mieszadełka w zestawie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6</w:t>
            </w:r>
            <w:r>
              <w:rPr>
                <w:b w:val="false"/>
                <w:sz w:val="19"/>
                <w:szCs w:val="19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4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b/>
                <w:bCs/>
                <w:sz w:val="19"/>
                <w:szCs w:val="19"/>
              </w:rPr>
              <w:t>SLE</w:t>
            </w:r>
            <w:r>
              <w:rPr>
                <w:sz w:val="19"/>
                <w:szCs w:val="19"/>
              </w:rPr>
              <w:br/>
            </w:r>
            <w:r>
              <w:rPr>
                <w:b w:val="false"/>
                <w:sz w:val="19"/>
                <w:szCs w:val="19"/>
              </w:rPr>
              <w:t>Test jakościowy/półilościowy - aglutynacyjny</w:t>
              <w:br/>
              <w:t>Min. 5 ml odczynnika lateksowego</w:t>
              <w:br/>
              <w:t>Kontrola dodatnia i ujemna, płytki i mieszadełka w zestawie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3</w:t>
            </w:r>
            <w:r>
              <w:rPr>
                <w:b w:val="false"/>
                <w:sz w:val="19"/>
                <w:szCs w:val="19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5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HCV</w:t>
            </w:r>
          </w:p>
          <w:p>
            <w:pPr>
              <w:pStyle w:val="Normal"/>
              <w:spacing w:before="0" w:after="200"/>
              <w:rPr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Test wykrywający przeciwciała przeciwko zapaleniu wątroby typu C w surowicy i osoczu. Metoda immunochromatograficzna.  Czułość i swoistość: min 99,8 %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3</w:t>
            </w:r>
            <w:r>
              <w:rPr>
                <w:b w:val="false"/>
                <w:sz w:val="19"/>
                <w:szCs w:val="19"/>
              </w:rPr>
              <w:t>5</w:t>
            </w:r>
            <w:r>
              <w:rPr>
                <w:b w:val="false"/>
                <w:sz w:val="19"/>
                <w:szCs w:val="19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6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bCs/>
                <w:sz w:val="19"/>
                <w:szCs w:val="19"/>
              </w:rPr>
              <w:t>HIV</w:t>
            </w:r>
            <w:r>
              <w:rPr>
                <w:sz w:val="19"/>
                <w:szCs w:val="19"/>
              </w:rPr>
              <w:br/>
            </w:r>
            <w:r>
              <w:rPr>
                <w:b w:val="false"/>
                <w:sz w:val="19"/>
                <w:szCs w:val="19"/>
              </w:rPr>
              <w:t>Test wykrywający przeciwciała (IgG, IgA i IgM) wytworzone przeciwko wszystkim podtypom ludzkiego wirusa upośledzenia odporności Typu 1 (HIV-1) (łącznie z Grupą 0) i Typu 2 (HIV-2) w surowicy i osoczu.</w:t>
              <w:br/>
              <w:t xml:space="preserve">Metoda  immunochromatograficzna. </w:t>
              <w:br/>
              <w:t>Czułość: 99,8%, Swoistość: 99,9%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20</w:t>
            </w:r>
            <w:r>
              <w:rPr>
                <w:b w:val="false"/>
                <w:sz w:val="19"/>
                <w:szCs w:val="19"/>
              </w:rPr>
              <w:t>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7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ichroma iFOB neo</w:t>
            </w:r>
            <w:r>
              <w:rPr>
                <w:b/>
                <w:bCs/>
                <w:sz w:val="19"/>
                <w:szCs w:val="19"/>
              </w:rPr>
              <w:t xml:space="preserve">* </w:t>
            </w:r>
            <w:r>
              <w:rPr>
                <w:b w:val="false"/>
                <w:sz w:val="19"/>
                <w:szCs w:val="19"/>
              </w:rPr>
              <w:t xml:space="preserve">ilościowo 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20</w:t>
            </w:r>
            <w:r>
              <w:rPr>
                <w:b w:val="false"/>
                <w:sz w:val="19"/>
                <w:szCs w:val="19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8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 xml:space="preserve"> </w:t>
            </w:r>
            <w:r>
              <w:rPr>
                <w:b w:val="false"/>
                <w:sz w:val="19"/>
                <w:szCs w:val="19"/>
              </w:rPr>
              <w:t>ichroma iFOB neo control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9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/>
            </w:pPr>
            <w:r>
              <w:rPr>
                <w:b w:val="false"/>
                <w:sz w:val="19"/>
                <w:szCs w:val="19"/>
              </w:rPr>
              <w:t xml:space="preserve"> </w:t>
            </w:r>
            <w:r>
              <w:rPr>
                <w:b w:val="false"/>
                <w:sz w:val="19"/>
                <w:szCs w:val="19"/>
              </w:rPr>
              <w:t>ichroma anty-CCP</w:t>
            </w:r>
            <w:r>
              <w:rPr>
                <w:b/>
                <w:bCs/>
                <w:sz w:val="19"/>
                <w:szCs w:val="19"/>
              </w:rPr>
              <w:t xml:space="preserve">* </w:t>
            </w:r>
            <w:r>
              <w:rPr>
                <w:b w:val="false"/>
                <w:sz w:val="19"/>
                <w:szCs w:val="19"/>
              </w:rPr>
              <w:t>ilościowo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2000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10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ichroma anty-CCP contro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11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Gardia Lamblia</w:t>
            </w:r>
          </w:p>
          <w:p>
            <w:pPr>
              <w:pStyle w:val="Normal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Test do oznaczania antygenu Gardia Lamblia w kale-(immunochromatograficzny) + kontrola dodatnia(wykonywana x tydzień) Czułość &gt;99%; swoistość &gt;98%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1</w:t>
            </w:r>
            <w:r>
              <w:rPr>
                <w:b w:val="false"/>
                <w:sz w:val="19"/>
                <w:szCs w:val="19"/>
              </w:rPr>
              <w:t>5</w:t>
            </w:r>
            <w:r>
              <w:rPr>
                <w:b w:val="false"/>
                <w:sz w:val="19"/>
                <w:szCs w:val="19"/>
              </w:rPr>
              <w:t>00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30" w:type="dxa"/>
            <w:tcBorders>
              <w:left w:val="single" w:sz="2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49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12</w:t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Multi-Drug 12 Drugs Rapid Test Panel </w:t>
            </w:r>
            <w:r>
              <w:rPr>
                <w:rFonts w:ascii="Liberation Serif" w:hAnsi="Liberation Serif"/>
                <w:sz w:val="20"/>
                <w:szCs w:val="20"/>
              </w:rPr>
              <w:t>OPI2000/MDMA500/MTD300/BZO300/ AMP500/MET1000/K2 50/FYL20/THC50/BUP10/MEP100/CAT150 (25 szt.)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*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1000</w:t>
            </w: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30" w:type="dxa"/>
            <w:tcBorders>
              <w:left w:val="single" w:sz="2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49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37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448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06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3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78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615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  <w:t>RAZEM</w:t>
            </w:r>
          </w:p>
        </w:tc>
        <w:tc>
          <w:tcPr>
            <w:tcW w:w="1380" w:type="dxa"/>
            <w:tcBorders>
              <w:left w:val="single" w:sz="2" w:space="0" w:color="000000"/>
              <w:bottom w:val="single" w:sz="2" w:space="0" w:color="000000"/>
            </w:tcBorders>
            <w:tcMar>
              <w:left w:w="0" w:type="dxa"/>
              <w:right w:w="0" w:type="dxa"/>
            </w:tcMar>
            <w:vAlign w:val="bottom"/>
          </w:tcPr>
          <w:p>
            <w:pPr>
              <w:pStyle w:val="Normal"/>
              <w:snapToGrid w:val="false"/>
              <w:spacing w:before="0" w:after="200"/>
              <w:jc w:val="right"/>
              <w:rPr>
                <w:b w:val="false"/>
                <w:sz w:val="19"/>
                <w:szCs w:val="19"/>
              </w:rPr>
            </w:pPr>
            <w:r>
              <w:rPr>
                <w:b w:val="false"/>
                <w:sz w:val="19"/>
                <w:szCs w:val="19"/>
              </w:rPr>
            </w:r>
          </w:p>
        </w:tc>
        <w:tc>
          <w:tcPr>
            <w:tcW w:w="30" w:type="dxa"/>
            <w:tcBorders>
              <w:left w:val="single" w:sz="2" w:space="0" w:color="000000"/>
            </w:tcBorders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  <w:tc>
          <w:tcPr>
            <w:tcW w:w="49" w:type="dxa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</w:r>
    </w:p>
    <w:p>
      <w:pPr>
        <w:pStyle w:val="Normal"/>
        <w:rPr>
          <w:b w:val="false"/>
          <w:sz w:val="23"/>
          <w:szCs w:val="23"/>
        </w:rPr>
      </w:pPr>
      <w:r>
        <w:rPr>
          <w:b w:val="false"/>
          <w:sz w:val="23"/>
          <w:szCs w:val="23"/>
        </w:rPr>
        <w:t xml:space="preserve"> </w:t>
      </w:r>
      <w:r>
        <w:rPr>
          <w:b w:val="false"/>
          <w:sz w:val="23"/>
          <w:szCs w:val="23"/>
        </w:rPr>
        <w:t>Należy dołączyć ulotki z informacjami dotyczącymi sposobu wykonania, czułości , trwałości i sposobie przechowywania.</w:t>
      </w:r>
    </w:p>
    <w:p>
      <w:pPr>
        <w:pStyle w:val="Normal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* testy ilościowe wraz z udostępnieniem czytnika</w:t>
      </w:r>
    </w:p>
    <w:p>
      <w:pPr>
        <w:pStyle w:val="Normal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sz w:val="26"/>
          <w:szCs w:val="26"/>
        </w:rPr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Autospacing="1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i/>
          <w:sz w:val="16"/>
          <w:szCs w:val="16"/>
        </w:rPr>
      </w:r>
    </w:p>
    <w:p>
      <w:pPr>
        <w:pStyle w:val="Normal"/>
        <w:spacing w:lineRule="auto" w:line="288" w:before="0" w:after="140"/>
        <w:jc w:val="right"/>
        <w:rPr>
          <w:rFonts w:ascii="Liberation Serif" w:hAnsi="Liberation Serif"/>
          <w:b/>
          <w:color w:val="FF0000"/>
          <w:sz w:val="20"/>
          <w:szCs w:val="24"/>
        </w:rPr>
      </w:pPr>
      <w:r>
        <w:rPr>
          <w:i/>
          <w:sz w:val="16"/>
          <w:szCs w:val="16"/>
        </w:rPr>
        <w:t>kwalifikowany podpis elektroniczny</w:t>
        <w:br/>
        <w:t xml:space="preserve"> lub podpis zaufany lub podpis osobisty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2ea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c57880"/>
    <w:pPr>
      <w:spacing w:lineRule="auto" w:line="288" w:beforeAutospacing="1" w:after="142"/>
    </w:pPr>
    <w:rPr>
      <w:rFonts w:ascii="Times New Roman" w:hAnsi="Times New Roman" w:eastAsia="Times New Roman" w:cs="Times New Roman"/>
      <w:sz w:val="24"/>
      <w:szCs w:val="24"/>
    </w:rPr>
  </w:style>
  <w:style w:type="paragraph" w:styleId="Tekstpodstawowy2">
    <w:name w:val="Tekst podstawowy 2"/>
    <w:basedOn w:val="Normal"/>
    <w:qFormat/>
    <w:pPr/>
    <w:rPr>
      <w:sz w:val="24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LibreOffice/7.5.0.1$Windows_X86_64 LibreOffice_project/77cd3d7ad4445740a0c6cf977992dafd8ebad8df</Application>
  <AppVersion>15.0000</AppVersion>
  <Pages>3</Pages>
  <Words>314</Words>
  <Characters>1975</Characters>
  <CharactersWithSpaces>2273</CharactersWithSpaces>
  <Paragraphs>59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2023-08-02T10:24:00Z</dcterms:created>
  <dc:creator>Użytkownik systemu Windows</dc:creator>
  <dc:description/>
  <dc:language>pl-PL</dc:language>
  <cp:lastModifiedBy/>
  <dcterms:modified xsi:type="dcterms:W3CDTF">2026-07-28T12:33:52Z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